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исполнению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П</w:t>
      </w:r>
      <w:r>
        <w:rPr>
          <w:rFonts w:ascii="Times New Roman" w:hAnsi="Times New Roman" w:cs="Times New Roman"/>
          <w:b/>
          <w:sz w:val="28"/>
          <w:szCs w:val="28"/>
        </w:rPr>
        <w:t xml:space="preserve">лан</w:t>
      </w:r>
      <w:r>
        <w:rPr>
          <w:rFonts w:ascii="Times New Roman" w:hAnsi="Times New Roman" w:cs="Times New Roman"/>
          <w:b/>
          <w:sz w:val="28"/>
          <w:szCs w:val="28"/>
        </w:rPr>
        <w:t xml:space="preserve">а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мероприятий (</w:t>
      </w: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</w:rPr>
        <w:t xml:space="preserve">дорожн</w:t>
      </w:r>
      <w:r>
        <w:rPr>
          <w:rFonts w:ascii="Times New Roman" w:hAnsi="Times New Roman" w:cs="Times New Roman"/>
          <w:b/>
          <w:sz w:val="28"/>
          <w:szCs w:val="28"/>
        </w:rPr>
        <w:t xml:space="preserve"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/>
          <w:sz w:val="28"/>
          <w:szCs w:val="28"/>
        </w:rPr>
        <w:t xml:space="preserve">ы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>
        <w:rPr>
          <w:rFonts w:ascii="Times New Roman" w:hAnsi="Times New Roman" w:cs="Times New Roman"/>
          <w:b/>
          <w:sz w:val="28"/>
          <w:szCs w:val="28"/>
        </w:rPr>
        <w:t xml:space="preserve">) по содействию развитию конкуренции 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рынках товаров, работ и услуг </w:t>
      </w: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«Всеволожский муниципальный район»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20</w:t>
      </w:r>
      <w:r>
        <w:rPr>
          <w:rFonts w:ascii="Times New Roman" w:hAnsi="Times New Roman" w:cs="Times New Roman"/>
          <w:b/>
          <w:sz w:val="28"/>
          <w:szCs w:val="28"/>
        </w:rPr>
        <w:t xml:space="preserve">2</w:t>
      </w:r>
      <w:r>
        <w:rPr>
          <w:rFonts w:ascii="Times New Roman" w:hAnsi="Times New Roman" w:cs="Times New Roman"/>
          <w:b/>
          <w:sz w:val="28"/>
          <w:szCs w:val="28"/>
        </w:rPr>
        <w:t xml:space="preserve"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b/>
          <w:sz w:val="28"/>
          <w:szCs w:val="28"/>
        </w:rPr>
        <w:t xml:space="preserve">. Мероприятия по содействию развитию конкуренции в отраслях (сферах) экономики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«Всеволожский муниципальный район»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Style w:val="645"/>
        <w:tblW w:w="156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1559"/>
        <w:gridCol w:w="29"/>
        <w:gridCol w:w="1417"/>
        <w:gridCol w:w="1418"/>
        <w:gridCol w:w="2410"/>
        <w:gridCol w:w="65"/>
        <w:gridCol w:w="4020"/>
        <w:gridCol w:w="26"/>
      </w:tblGrid>
      <w:tr>
        <w:trPr>
          <w:gridAfter w:val="1"/>
          <w:tblHeader/>
        </w:trPr>
        <w:tc>
          <w:tcPr>
            <w:tcW w:w="46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ключевого показателя развития конкуренции в отраслях (сферах) экономики </w:t>
            </w:r>
            <w:r/>
          </w:p>
        </w:tc>
        <w:tc>
          <w:tcPr>
            <w:gridSpan w:val="3"/>
            <w:tcW w:w="30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ключевого показателя развития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конкуренции</w:t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измерения</w:t>
            </w:r>
            <w:r/>
          </w:p>
        </w:tc>
        <w:tc>
          <w:tcPr>
            <w:gridSpan w:val="2"/>
            <w:tcW w:w="24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структурное подразделение администрации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МО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«Всеволожский муниципальный район» 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/>
          </w:p>
        </w:tc>
        <w:tc>
          <w:tcPr>
            <w:tcW w:w="40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Проведенные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ероприятия, направленные на достижение целевого показателя</w:t>
            </w:r>
            <w:r/>
          </w:p>
        </w:tc>
      </w:tr>
      <w:tr>
        <w:trPr>
          <w:gridAfter w:val="1"/>
        </w:trPr>
        <w:tc>
          <w:tcPr>
            <w:tcW w:w="46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4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02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8"/>
            <w:tcW w:w="15597" w:type="dxa"/>
            <w:textDirection w:val="lrTb"/>
            <w:noWrap w:val="false"/>
          </w:tcPr>
          <w:p>
            <w:pPr>
              <w:pStyle w:val="651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услуг дошкольного образования</w:t>
            </w:r>
            <w:r/>
          </w:p>
        </w:tc>
      </w:tr>
      <w:tr>
        <w:trPr>
          <w:gridAfter w:val="1"/>
          <w:trHeight w:val="1217"/>
        </w:trPr>
        <w:tc>
          <w:tcPr>
            <w:tcW w:w="46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доли детей в возрасте от 3 до 6 лет, посещающих дошкольные образовательные учреждения за счет открытия частных детских садов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455/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132,5</w:t>
            </w:r>
            <w:r>
              <w:rPr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W w:w="14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455/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132,5</w:t>
            </w:r>
            <w:r>
              <w:rPr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Чел./%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Комитет по образованию </w:t>
            </w:r>
            <w:r/>
          </w:p>
        </w:tc>
        <w:tc>
          <w:tcPr>
            <w:tcW w:w="40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01.01.2023 года в АИС ЭДС зарегистрировано 17 частных образовательных организаций, имеющих лицензию на право ведения образовательной деятельности, которые посещает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2 579 ребенка возрастной категории от 3 до 6 лет.</w:t>
            </w:r>
            <w:r/>
          </w:p>
        </w:tc>
      </w:tr>
      <w:tr>
        <w:trPr>
          <w:gridAfter w:val="1"/>
        </w:trPr>
        <w:tc>
          <w:tcPr>
            <w:tcW w:w="46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Предоставления мер социальной поддержки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  <w:t xml:space="preserve">22</w:t>
            </w:r>
            <w:r>
              <w:rPr>
                <w:highlight w:val="none"/>
              </w:rPr>
            </w:r>
          </w:p>
        </w:tc>
        <w:tc>
          <w:tcPr>
            <w:gridSpan w:val="2"/>
            <w:tcW w:w="14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10</w:t>
            </w:r>
            <w:r>
              <w:rPr>
                <w:highlight w:val="none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граждан.</w:t>
            </w:r>
            <w:r/>
          </w:p>
        </w:tc>
        <w:tc>
          <w:tcPr>
            <w:gridSpan w:val="2"/>
            <w:tcW w:w="24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Комитет по образованию </w:t>
            </w:r>
            <w:r/>
          </w:p>
        </w:tc>
        <w:tc>
          <w:tcPr>
            <w:tcW w:w="40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связи с решением Совета депутатов Всеволожского района от 19.12.2019 № 51 «О дополнительных мерах социальной поддержки отдельных категорий граждан» меры социальной поддержки в форме ежемесячных денежных выплат предоставляются гражданам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которые не имеют право на их получение в соответствии с Социальным кодексом Ленинградской области.</w:t>
            </w:r>
            <w:r/>
          </w:p>
        </w:tc>
      </w:tr>
      <w:tr>
        <w:trPr>
          <w:gridAfter w:val="1"/>
        </w:trPr>
        <w:tc>
          <w:tcPr>
            <w:tcW w:w="46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14</w:t>
            </w:r>
            <w:r>
              <w:rPr>
                <w:highlight w:val="none"/>
              </w:rPr>
            </w:r>
          </w:p>
        </w:tc>
        <w:tc>
          <w:tcPr>
            <w:gridSpan w:val="2"/>
            <w:tcW w:w="14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18</w:t>
            </w:r>
            <w:r>
              <w:rPr>
                <w:highlight w:val="none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%</w:t>
            </w:r>
            <w:r>
              <w:rPr>
                <w:highlight w:val="none"/>
              </w:rPr>
            </w:r>
          </w:p>
        </w:tc>
        <w:tc>
          <w:tcPr>
            <w:gridSpan w:val="2"/>
            <w:tcW w:w="24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Комитет по образованию </w:t>
            </w:r>
            <w:r/>
          </w:p>
        </w:tc>
        <w:tc>
          <w:tcPr>
            <w:tcW w:w="40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На 01.01.202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года в АИС ЭДС зарегистрировано 17 частных образовательных организаций, имеющих лицензию на право ведения образовательной деятельности, которые посещает 3982 ребенок возрастной категории от 1 до 6 лет.</w:t>
            </w:r>
            <w:r/>
          </w:p>
        </w:tc>
      </w:tr>
      <w:tr>
        <w:trPr>
          <w:gridAfter w:val="1"/>
        </w:trPr>
        <w:tc>
          <w:tcPr>
            <w:gridSpan w:val="8"/>
            <w:tcW w:w="15597" w:type="dxa"/>
            <w:textDirection w:val="lrTb"/>
            <w:noWrap w:val="false"/>
          </w:tcPr>
          <w:p>
            <w:pPr>
              <w:pStyle w:val="651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  <w:t xml:space="preserve">Рынок услуг дополнительного образования детей</w:t>
            </w:r>
            <w:r>
              <w:rPr>
                <w:highlight w:val="none"/>
              </w:rPr>
            </w:r>
          </w:p>
        </w:tc>
      </w:tr>
      <w:tr>
        <w:trPr>
          <w:gridAfter w:val="1"/>
        </w:trPr>
        <w:tc>
          <w:tcPr>
            <w:tcW w:w="46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Количество платных образовательных программ (кружков, занятий) на базе общеобразовательных учреждений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10</w:t>
            </w:r>
            <w:r>
              <w:rPr>
                <w:highlight w:val="none"/>
              </w:rPr>
            </w:r>
          </w:p>
        </w:tc>
        <w:tc>
          <w:tcPr>
            <w:gridSpan w:val="2"/>
            <w:tcW w:w="14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10</w:t>
            </w:r>
            <w:r>
              <w:rPr>
                <w:highlight w:val="none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Ед.</w:t>
            </w:r>
            <w:r>
              <w:rPr>
                <w:highlight w:val="none"/>
              </w:rPr>
            </w:r>
          </w:p>
        </w:tc>
        <w:tc>
          <w:tcPr>
            <w:gridSpan w:val="2"/>
            <w:tcW w:w="24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Комитет по образованию </w:t>
            </w:r>
            <w:r/>
          </w:p>
        </w:tc>
        <w:tc>
          <w:tcPr>
            <w:tcW w:w="40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формата работы отдельных частных организаций, работающих в сфере предоставления образовательных услуг, предоставление возможности оказания услуг на базе муниципальных общеобразовательных учреждений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8"/>
            <w:tcW w:w="15597" w:type="dxa"/>
            <w:textDirection w:val="lrTb"/>
            <w:noWrap w:val="false"/>
          </w:tcPr>
          <w:p>
            <w:pPr>
              <w:pStyle w:val="651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  <w:highlight w:val="none"/>
              </w:rPr>
              <w:t xml:space="preserve">Рынок услуг детского отдыха и оздоровления</w:t>
            </w:r>
            <w:r>
              <w:rPr>
                <w:highlight w:val="none"/>
              </w:rPr>
            </w:r>
          </w:p>
        </w:tc>
      </w:tr>
      <w:tr>
        <w:trPr>
          <w:gridAfter w:val="1"/>
        </w:trPr>
        <w:tc>
          <w:tcPr>
            <w:tcW w:w="46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несовершеннолетних детей от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18 лет, охваченных тематическими мероприятиями с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привлечением ресурсов в т.ч. организаций коммерческого сектора экономики,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детей в МООДО «ЦДО «Островки».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</w:t>
            </w:r>
            <w:r>
              <w:rPr>
                <w:highlight w:val="none"/>
              </w:rPr>
            </w:r>
          </w:p>
        </w:tc>
        <w:tc>
          <w:tcPr>
            <w:gridSpan w:val="2"/>
            <w:tcW w:w="14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12</w:t>
            </w:r>
            <w:r>
              <w:rPr>
                <w:highlight w:val="none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%</w:t>
            </w:r>
            <w:r>
              <w:rPr>
                <w:highlight w:val="none"/>
              </w:rPr>
            </w:r>
          </w:p>
        </w:tc>
        <w:tc>
          <w:tcPr>
            <w:gridSpan w:val="2"/>
            <w:tcW w:w="24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Комитет по образованию </w:t>
            </w:r>
            <w:r/>
          </w:p>
        </w:tc>
        <w:tc>
          <w:tcPr>
            <w:tcW w:w="40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досугово-развивающих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онлайн-проекта Центрального банка Российской Федерации «ДОЛ-игра» для воспитанников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МООДО «ЦДО «Островки»</w:t>
            </w:r>
            <w:r/>
          </w:p>
        </w:tc>
      </w:tr>
      <w:tr>
        <w:trPr>
          <w:gridAfter w:val="1"/>
        </w:trPr>
        <w:tc>
          <w:tcPr>
            <w:gridSpan w:val="8"/>
            <w:tcW w:w="15597" w:type="dxa"/>
            <w:textDirection w:val="lrTb"/>
            <w:noWrap w:val="false"/>
          </w:tcPr>
          <w:p>
            <w:pPr>
              <w:pStyle w:val="651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услуг розничной торговли лекарственными препаратами, медицинскими изделиями и сопутствующими товарами</w:t>
            </w:r>
            <w:r/>
          </w:p>
        </w:tc>
      </w:tr>
      <w:tr>
        <w:trPr>
          <w:trHeight w:val="2568"/>
        </w:trPr>
        <w:tc>
          <w:tcPr>
            <w:tcW w:w="46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5</w:t>
            </w:r>
            <w:r>
              <w:rPr>
                <w:highlight w:val="none"/>
              </w:rPr>
            </w:r>
          </w:p>
        </w:tc>
        <w:tc>
          <w:tcPr>
            <w:gridSpan w:val="2"/>
            <w:tcW w:w="14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96</w:t>
            </w:r>
            <w:r>
              <w:rPr>
                <w:highlight w:val="none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sz w:val="24"/>
                <w:szCs w:val="24"/>
              </w:rPr>
              <w:t xml:space="preserve">Отдел по экономическому развитию и инвестициям;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sz w:val="24"/>
                <w:szCs w:val="24"/>
              </w:rPr>
              <w:t xml:space="preserve">Отдел развития сельскохозяйственного производства, малого и среднего предпринимательства</w:t>
            </w:r>
            <w:r/>
          </w:p>
        </w:tc>
        <w:tc>
          <w:tcPr>
            <w:gridSpan w:val="3"/>
            <w:tcW w:w="41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сокращения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ипальной формы собственности (доля участия в которых                                     муниципальных образований Всеволожского района составляет 50 и более процентов) запущена процедура ликвидации                          ООО «Аптека №193» (г. Сертолово)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</w:tr>
      <w:tr>
        <w:trPr>
          <w:gridAfter w:val="1"/>
          <w:trHeight w:val="70"/>
        </w:trPr>
        <w:tc>
          <w:tcPr>
            <w:gridSpan w:val="8"/>
            <w:tcW w:w="15597" w:type="dxa"/>
            <w:textDirection w:val="lrTb"/>
            <w:noWrap w:val="false"/>
          </w:tcPr>
          <w:p>
            <w:pPr>
              <w:pStyle w:val="651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Рынок выполнения работ по благоустройству городской среды</w:t>
            </w:r>
            <w:r>
              <w:rPr>
                <w:highlight w:val="none"/>
              </w:rPr>
            </w:r>
          </w:p>
        </w:tc>
      </w:tr>
      <w:tr>
        <w:trPr>
          <w:trHeight w:val="70"/>
        </w:trPr>
        <w:tc>
          <w:tcPr>
            <w:tcW w:w="46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организаций частной формы собственности в сфере выполнения работ по благоустройству городской среды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100</w:t>
            </w:r>
            <w:r>
              <w:rPr>
                <w:highlight w:val="none"/>
              </w:rPr>
            </w:r>
          </w:p>
        </w:tc>
        <w:tc>
          <w:tcPr>
            <w:gridSpan w:val="2"/>
            <w:tcW w:w="14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100</w:t>
            </w:r>
            <w:r>
              <w:rPr>
                <w:highlight w:val="none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sz w:val="24"/>
                <w:szCs w:val="24"/>
              </w:rPr>
              <w:t xml:space="preserve">Управление строительства, дорожного хозяйства и благоустройства;</w:t>
            </w:r>
            <w:r/>
          </w:p>
          <w:p>
            <w:pPr>
              <w:jc w:val="center"/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муниципального заказа</w:t>
            </w:r>
            <w:r/>
          </w:p>
        </w:tc>
        <w:tc>
          <w:tcPr>
            <w:gridSpan w:val="3"/>
            <w:tcW w:w="41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по благоустройству городской среды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осуществляется в рамках заключения муниципальных контрактов с предприятиями частной формы собственности.</w:t>
            </w:r>
            <w:r/>
          </w:p>
        </w:tc>
      </w:tr>
      <w:tr>
        <w:trPr>
          <w:gridAfter w:val="1"/>
          <w:trHeight w:val="562"/>
        </w:trPr>
        <w:tc>
          <w:tcPr>
            <w:gridSpan w:val="8"/>
            <w:tcW w:w="155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  <w:t xml:space="preserve">6. Рынок оказания услуг по перевозке пассажиров автомобильным транспортом по муниципальным маршрутам регулярных перевозок.</w:t>
            </w:r>
            <w:r>
              <w:rPr>
                <w:highlight w:val="none"/>
              </w:rPr>
            </w:r>
          </w:p>
        </w:tc>
      </w:tr>
      <w:tr>
        <w:trPr/>
        <w:tc>
          <w:tcPr>
            <w:tcBorders>
              <w:top w:val="none" w:color="000000" w:sz="4" w:space="0"/>
            </w:tcBorders>
            <w:tcW w:w="46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услуг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</w:t>
            </w:r>
            <w:r/>
          </w:p>
        </w:tc>
        <w:tc>
          <w:tcPr>
            <w:gridSpan w:val="2"/>
            <w:tcBorders>
              <w:top w:val="none" w:color="000000" w:sz="4" w:space="0"/>
            </w:tcBorders>
            <w:tcW w:w="158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69</w:t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68</w:t>
            </w:r>
            <w:bookmarkStart w:id="0" w:name="_GoBack"/>
            <w:r>
              <w:rPr>
                <w:highlight w:val="none"/>
              </w:rPr>
            </w:r>
            <w:bookmarkEnd w:id="0"/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  <w:r/>
          </w:p>
        </w:tc>
        <w:tc>
          <w:tcPr>
            <w:tcBorders>
              <w:top w:val="none" w:color="000000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sz w:val="24"/>
                <w:szCs w:val="24"/>
              </w:rPr>
              <w:t xml:space="preserve">Сектор организации транспортного обслуживания населения;</w:t>
            </w:r>
            <w:r/>
          </w:p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муниципального заказа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</w:tcBorders>
            <w:tcW w:w="4111" w:type="dxa"/>
            <w:textDirection w:val="lrTb"/>
            <w:noWrap w:val="false"/>
          </w:tcPr>
          <w:p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конкурсы на оказание услуг, связанных с осуществлением регулярных перевозок пассажиров и багажа автомобильным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спортом по регулируемым тарифам по муниципальным маршрутам Всеволожского муниципального района Ленинградской области не проводились. На сегодняшний день из 50 муниципальных маршрутов 34 маршрута обслуживаются организациями частной формы собственности (68%)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  <w:p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</w:tr>
      <w:tr>
        <w:trPr>
          <w:gridAfter w:val="1"/>
        </w:trPr>
        <w:tc>
          <w:tcPr>
            <w:gridSpan w:val="8"/>
            <w:tcW w:w="155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реализации сельскохозяйственной продукции</w:t>
            </w:r>
            <w:r/>
          </w:p>
        </w:tc>
      </w:tr>
      <w:tr>
        <w:trPr/>
        <w:tc>
          <w:tcPr>
            <w:tcW w:w="46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территории района конкурсов, выставок, ярмарок и других мероприятий, направленных на продвижение продукции, пропаганду передового опыта и формирование благоприятного имиджа АПК </w:t>
            </w:r>
            <w:r/>
          </w:p>
        </w:tc>
        <w:tc>
          <w:tcPr>
            <w:gridSpan w:val="2"/>
            <w:tcW w:w="158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Style w:val="648"/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4</w:t>
            </w:r>
            <w:r>
              <w:rPr>
                <w:highlight w:val="none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Ед.</w:t>
            </w:r>
            <w:r>
              <w:rPr>
                <w:highlight w:val="none"/>
              </w:rPr>
            </w:r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Batang" w:cs="Times New Roman"/>
                <w:sz w:val="24"/>
                <w:szCs w:val="24"/>
                <w:highlight w:val="none"/>
              </w:rPr>
              <w:t xml:space="preserve">Отдел развития сельскохозяйственного производства, малого и среднего предпринимательства</w:t>
            </w:r>
            <w:r>
              <w:rPr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3"/>
            <w:tcW w:w="411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сельскохозяйственная Ярмарка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весна, 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31-й международной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агропромышленной выставке-ярмарке «Агрорусь – 2022»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техников-биологов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</w:tr>
      <w:tr>
        <w:trPr>
          <w:gridAfter w:val="1"/>
        </w:trPr>
        <w:tc>
          <w:tcPr>
            <w:gridSpan w:val="8"/>
            <w:tcW w:w="155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  <w:t xml:space="preserve">Сфера наружной рекламы</w:t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46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наружной рекламы</w:t>
            </w:r>
            <w:r/>
          </w:p>
        </w:tc>
        <w:tc>
          <w:tcPr>
            <w:gridSpan w:val="2"/>
            <w:tcW w:w="158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100</w:t>
            </w:r>
            <w:r>
              <w:rPr>
                <w:highlight w:val="none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%</w:t>
            </w:r>
            <w:r>
              <w:rPr>
                <w:highlight w:val="none"/>
              </w:rPr>
            </w:r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Batang" w:cs="Times New Roman"/>
                <w:sz w:val="24"/>
                <w:szCs w:val="24"/>
                <w:highlight w:val="none"/>
              </w:rPr>
              <w:t xml:space="preserve">Отдел развития сельскохозяйственного производства, малого и среднего предпринимательства</w:t>
            </w:r>
            <w:r>
              <w:rPr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3"/>
            <w:tcW w:w="41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(муниципальные) организации, оказывающие услуги в сфере наружной рекламы отсутствуют.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8"/>
            <w:tcW w:w="155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  <w:t xml:space="preserve">9.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  <w:t xml:space="preserve">Рынок туристских услуг</w:t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46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Внесенных информации о достопримечательностях и туристских объектах в информационные системы </w:t>
            </w:r>
            <w:r/>
          </w:p>
        </w:tc>
        <w:tc>
          <w:tcPr>
            <w:gridSpan w:val="2"/>
            <w:tcW w:w="158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100</w:t>
            </w:r>
            <w:r>
              <w:rPr>
                <w:highlight w:val="none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%</w:t>
            </w:r>
            <w:r>
              <w:rPr>
                <w:highlight w:val="none"/>
              </w:rPr>
            </w:r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Batang" w:cs="Times New Roman"/>
                <w:sz w:val="24"/>
                <w:szCs w:val="24"/>
                <w:highlight w:val="none"/>
              </w:rPr>
              <w:t xml:space="preserve">Отдел по молодежной политике, туризму и межнациональным отношениям</w:t>
            </w:r>
            <w:r>
              <w:rPr>
                <w:highlight w:val="none"/>
              </w:rPr>
            </w:r>
          </w:p>
        </w:tc>
        <w:tc>
          <w:tcPr>
            <w:gridSpan w:val="3"/>
            <w:tcW w:w="4111" w:type="dxa"/>
            <w:textDirection w:val="lrTb"/>
            <w:noWrap w:val="false"/>
          </w:tcPr>
          <w:p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На настоящее время внесены сведения о 54 объектах.</w:t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46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межрегиональных и международных выставках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 проектах приграничного сотрудничества</w:t>
            </w:r>
            <w:r/>
          </w:p>
        </w:tc>
        <w:tc>
          <w:tcPr>
            <w:gridSpan w:val="2"/>
            <w:tcW w:w="158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</w:t>
            </w:r>
            <w:r>
              <w:rPr>
                <w:highlight w:val="none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Ед.</w:t>
            </w:r>
            <w:r>
              <w:rPr>
                <w:highlight w:val="none"/>
              </w:rPr>
            </w:r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Batang" w:cs="Times New Roman"/>
                <w:sz w:val="24"/>
                <w:szCs w:val="24"/>
                <w:highlight w:val="none"/>
              </w:rPr>
              <w:t xml:space="preserve">Отдел по молодежной политике, туризму и межнациональным отношениям</w:t>
            </w:r>
            <w:r>
              <w:rPr>
                <w:highlight w:val="none"/>
              </w:rPr>
            </w:r>
          </w:p>
        </w:tc>
        <w:tc>
          <w:tcPr>
            <w:gridSpan w:val="3"/>
            <w:tcW w:w="4111" w:type="dxa"/>
            <w:textDirection w:val="lrTb"/>
            <w:noWrap w:val="false"/>
          </w:tcPr>
          <w:p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Мотофестиваль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BALTIC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RALLY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</w:t>
            </w:r>
            <w:r/>
          </w:p>
          <w:p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«Туризм. Спорт. Активный отдых» в г. Казань (заочное участие, предоставление информационных буклетов о достопримечательностях Всеволожского района)</w:t>
            </w:r>
            <w:r/>
          </w:p>
        </w:tc>
      </w:tr>
    </w:tbl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b/>
          <w:sz w:val="28"/>
          <w:szCs w:val="28"/>
        </w:rPr>
        <w:t xml:space="preserve">. Системные мероприятия, направленные на развитие конкуренции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«Всеволожский муниципальный район»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</w:t>
      </w:r>
      <w:r/>
    </w:p>
    <w:p>
      <w:pPr>
        <w:jc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tbl>
      <w:tblPr>
        <w:tblStyle w:val="645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5"/>
        <w:gridCol w:w="3286"/>
        <w:gridCol w:w="3544"/>
        <w:gridCol w:w="277"/>
        <w:gridCol w:w="1565"/>
        <w:gridCol w:w="1701"/>
        <w:gridCol w:w="4111"/>
      </w:tblGrid>
      <w:tr>
        <w:trPr>
          <w:tblHeader/>
        </w:trPr>
        <w:tc>
          <w:tcPr>
            <w:tcW w:w="85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</w:t>
            </w:r>
            <w:r/>
          </w:p>
        </w:tc>
        <w:tc>
          <w:tcPr>
            <w:tcW w:w="328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развитие конкуренции</w:t>
            </w:r>
            <w:r/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индикаторы, Единица измерения</w:t>
            </w:r>
            <w:r/>
          </w:p>
        </w:tc>
        <w:tc>
          <w:tcPr>
            <w:gridSpan w:val="3"/>
            <w:tcW w:w="35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ключевого показателя</w:t>
            </w:r>
            <w:r/>
          </w:p>
        </w:tc>
        <w:tc>
          <w:tcPr>
            <w:tcW w:w="411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Ответственное структурное подразделение администрации     МО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«Всеволожский муниципальный район» ЛО</w:t>
            </w:r>
            <w:r/>
          </w:p>
        </w:tc>
      </w:tr>
      <w:tr>
        <w:trPr/>
        <w:tc>
          <w:tcPr>
            <w:tcW w:w="85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8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54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1842" w:type="dxa"/>
            <w:textDirection w:val="lrTb"/>
            <w:noWrap w:val="false"/>
          </w:tcPr>
          <w:p>
            <w:pPr>
              <w:ind w:left="-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411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gridSpan w:val="6"/>
            <w:tcW w:w="144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конкурентоспособности товаров, работ, услуг субъектов малого и среднего предпринимательства</w:t>
            </w:r>
            <w:r/>
          </w:p>
        </w:tc>
      </w:tr>
      <w:tr>
        <w:trPr>
          <w:trHeight w:val="2417"/>
        </w:trPr>
        <w:tc>
          <w:tcPr>
            <w:tcW w:w="8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объема закупок у субъектов малого и среднего предпринимательства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закупок товаров, работ, услуг, которые муниципальные заказчики осуществили у субъектов малого предпринимательства в соответствии с частью 1 статьи 30 Федерального закона № 44-ФЗ, процентов</w:t>
            </w:r>
            <w:r/>
          </w:p>
        </w:tc>
        <w:tc>
          <w:tcPr>
            <w:gridSpan w:val="2"/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</w:t>
            </w:r>
            <w:r/>
          </w:p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  <w:t xml:space="preserve">58,36</w:t>
            </w:r>
            <w:r>
              <w:rPr>
                <w:highlight w:val="none"/>
              </w:rPr>
            </w:r>
          </w:p>
        </w:tc>
        <w:tc>
          <w:tcPr>
            <w:tcW w:w="4111" w:type="dxa"/>
            <w:textDirection w:val="lrTb"/>
            <w:noWrap w:val="false"/>
          </w:tcPr>
          <w:p>
            <w:pPr>
              <w:ind w:left="-127" w:right="-82"/>
              <w:jc w:val="center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sz w:val="24"/>
                <w:szCs w:val="24"/>
              </w:rPr>
              <w:t xml:space="preserve">Отдел развития сельскохозяйственного производства, малого и среднего предпринимательства;</w:t>
            </w:r>
            <w:r/>
          </w:p>
          <w:p>
            <w:pPr>
              <w:jc w:val="center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sz w:val="24"/>
                <w:szCs w:val="24"/>
              </w:rPr>
              <w:t xml:space="preserve">Комитет финансов;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муниципального заказа</w:t>
            </w:r>
            <w:r/>
          </w:p>
        </w:tc>
      </w:tr>
      <w:tr>
        <w:trPr/>
        <w:tc>
          <w:tcPr>
            <w:tcW w:w="8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32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«социального предпринимательства»,  проведение мероприятий, направленных на поддержку «социального предпринимательства» в таких сферах, как дошкольное, общее образование, детский отдых и оздоровление детей, дополнительное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детей,  включая мероприятия по развитию инфраструктуры поддержки «социального предпринимательства»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«социального предпринимательства», получивших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поддержку, чел. </w:t>
            </w:r>
            <w:r/>
          </w:p>
        </w:tc>
        <w:tc>
          <w:tcPr>
            <w:gridSpan w:val="2"/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40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ind w:left="-127" w:right="-82"/>
              <w:jc w:val="center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sz w:val="24"/>
                <w:szCs w:val="24"/>
              </w:rPr>
              <w:t xml:space="preserve">Отдел развития сельскохозяйственного производства, малого и среднего предпринимательства;</w:t>
            </w:r>
            <w:r/>
          </w:p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/>
            <w:hyperlink r:id="rId10" w:tooltip="http://vsevolozhsk.813.ru/" w:history="1">
              <w:r>
                <w:rPr>
                  <w:rStyle w:val="652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Фонд "Всеволожский центр поддержки предпринимательства - бизнес-инкубатор" микрокредитная компания</w:t>
              </w:r>
            </w:hyperlink>
            <w:r/>
            <w:r/>
          </w:p>
        </w:tc>
      </w:tr>
      <w:tr>
        <w:trPr/>
        <w:tc>
          <w:tcPr>
            <w:tcW w:w="8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32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созданию и развитию институтов поддержки субъектов малого предпринимательства (прежде всего финансирование начальной стадии развития организации и гар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антия непрерывности поддержки)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предпринимательства, действующих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поддержку, чел.</w:t>
            </w:r>
            <w:r/>
          </w:p>
        </w:tc>
        <w:tc>
          <w:tcPr>
            <w:gridSpan w:val="2"/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ind w:left="-127" w:right="-82"/>
              <w:jc w:val="center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sz w:val="24"/>
                <w:szCs w:val="24"/>
              </w:rPr>
              <w:t xml:space="preserve">Отдел развития сельскохозяйственного производства, малого и среднего предпринимательства;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/>
            <w:hyperlink r:id="rId11" w:tooltip="http://vsevolozhsk.813.ru/" w:history="1">
              <w:r>
                <w:rPr>
                  <w:rStyle w:val="652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Фонд "Всеволожский центр поддержки предпринимательства - бизнес-инкубатор" микрокредитная компания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</w:t>
            </w:r>
            <w:r/>
          </w:p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8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</w:t>
            </w:r>
            <w:r/>
          </w:p>
        </w:tc>
        <w:tc>
          <w:tcPr>
            <w:tcW w:w="32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финансовых услуг предпринимательского финансирования микрофинансовыми организациями поддержки субъектов малого и среднего предпринимательства 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капитализации микрофинансовых организаций поддержки субъектов малого и среднего предпринимательства, тыс. руб.</w:t>
            </w:r>
            <w:r/>
          </w:p>
        </w:tc>
        <w:tc>
          <w:tcPr>
            <w:gridSpan w:val="2"/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18 630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31 650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ind w:left="-127" w:right="-82"/>
              <w:jc w:val="center"/>
              <w:rPr>
                <w:rFonts w:ascii="Times New Roman" w:hAnsi="Times New Roman" w:eastAsia="Batang" w:cs="Times New Roman"/>
              </w:rPr>
            </w:pPr>
            <w:r>
              <w:rPr>
                <w:rFonts w:ascii="Times New Roman" w:hAnsi="Times New Roman" w:eastAsia="Batang" w:cs="Times New Roman"/>
              </w:rPr>
              <w:t xml:space="preserve">Отдел развития сельскохозяйственного производства, малого и среднего предпринимательства;</w:t>
            </w:r>
            <w:r/>
          </w:p>
          <w:p>
            <w:pPr>
              <w:ind w:left="-127" w:right="-82"/>
              <w:jc w:val="center"/>
              <w:rPr>
                <w:rFonts w:ascii="Times New Roman" w:hAnsi="Times New Roman" w:eastAsia="Batang" w:cs="Times New Roman"/>
              </w:rPr>
            </w:pPr>
            <w:r/>
            <w:hyperlink r:id="rId12" w:tooltip="http://vsevolozhsk.813.ru/" w:history="1">
              <w:r>
                <w:rPr>
                  <w:rStyle w:val="652"/>
                  <w:rFonts w:ascii="Times New Roman" w:hAnsi="Times New Roman" w:cs="Times New Roman"/>
                  <w:color w:val="000000"/>
                </w:rPr>
                <w:t xml:space="preserve">Фонд "Всеволожский центр поддержки предпринимательства - бизнес-инкубатор" микрокредитная компания</w:t>
              </w:r>
            </w:hyperlink>
            <w:r/>
            <w:r/>
          </w:p>
        </w:tc>
      </w:tr>
      <w:tr>
        <w:trPr>
          <w:trHeight w:val="1674"/>
        </w:trPr>
        <w:tc>
          <w:tcPr>
            <w:tcW w:w="8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</w:t>
            </w:r>
            <w:r/>
          </w:p>
        </w:tc>
        <w:tc>
          <w:tcPr>
            <w:tcW w:w="32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нестационарных торговых объектов и торговых мест под них не менее чем на 10 процентов к 2025 году по отношению к 2020 году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нестационарных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мобильных  торговых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ед.</w:t>
            </w:r>
            <w:r/>
          </w:p>
        </w:tc>
        <w:tc>
          <w:tcPr>
            <w:gridSpan w:val="2"/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470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61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ind w:left="-127" w:right="-82"/>
              <w:jc w:val="center"/>
              <w:rPr>
                <w:rFonts w:ascii="Times New Roman" w:hAnsi="Times New Roman" w:eastAsia="Batang" w:cs="Times New Roman"/>
              </w:rPr>
            </w:pPr>
            <w:r>
              <w:rPr>
                <w:rFonts w:ascii="Times New Roman" w:hAnsi="Times New Roman" w:eastAsia="Batang" w:cs="Times New Roman"/>
              </w:rPr>
              <w:t xml:space="preserve">Отдел развития сельскохозяйственного производства, малого и среднего предпринимательства</w:t>
            </w:r>
            <w:r/>
          </w:p>
        </w:tc>
      </w:tr>
      <w:tr>
        <w:trPr/>
        <w:tc>
          <w:tcPr>
            <w:tcW w:w="8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6"/>
            <w:tcW w:w="144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Устранение избыточного государственного и муниципального регулирования, а также снижение административных барьеров</w:t>
            </w:r>
            <w:r/>
          </w:p>
        </w:tc>
      </w:tr>
      <w:tr>
        <w:trPr/>
        <w:tc>
          <w:tcPr>
            <w:tcW w:w="8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</w:t>
            </w:r>
            <w:r/>
          </w:p>
        </w:tc>
        <w:tc>
          <w:tcPr>
            <w:tcW w:w="32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практики реализации муниципальных функций и услуг на предмет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соответствия такой практики статьям 15 и 16 Федерального закона «О защите конкуренции»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Проведение оценки регулирующего воздействия проектов муниципальных нормативных правовых актов и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экспертизы муниципальных нормативных правовых актов,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не менее ед.</w:t>
            </w:r>
            <w:r/>
          </w:p>
        </w:tc>
        <w:tc>
          <w:tcPr>
            <w:gridSpan w:val="2"/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10</w:t>
            </w:r>
            <w:r>
              <w:rPr>
                <w:highlight w:val="none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8</w:t>
            </w:r>
            <w:r>
              <w:rPr>
                <w:highlight w:val="none"/>
              </w:rPr>
            </w:r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отдел по экономическому развитию и инвестициям</w:t>
            </w:r>
            <w:r/>
          </w:p>
        </w:tc>
      </w:tr>
      <w:tr>
        <w:trPr/>
        <w:tc>
          <w:tcPr>
            <w:tcW w:w="8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</w:t>
            </w:r>
            <w:r/>
          </w:p>
        </w:tc>
        <w:tc>
          <w:tcPr>
            <w:tcW w:w="32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процесса предоставления муниципальных услуг для субъектов предпринимательской деятельности путем сокращения сроков их предоставления,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путем перевода их предоставления в электронную форму, в том числе через МФЦ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Сокращение регламентного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для субъектов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оптимизацию предоставления, %</w:t>
            </w:r>
            <w:r/>
          </w:p>
        </w:tc>
        <w:tc>
          <w:tcPr>
            <w:gridSpan w:val="2"/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10</w:t>
            </w:r>
            <w:r>
              <w:rPr>
                <w:highlight w:val="none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8,3</w:t>
            </w:r>
            <w:r>
              <w:rPr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(сокращение регламентных сроков предоставления по 4 услугам - 33,3%, в среднем на 1 услугу – 8,3%)</w:t>
            </w:r>
            <w:r>
              <w:rPr>
                <w:highlight w:val="none"/>
              </w:rPr>
            </w:r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отдел по</w:t>
            </w:r>
            <w:r>
              <w:rPr>
                <w:rFonts w:ascii="Times New Roman" w:hAnsi="Times New Roman" w:eastAsia="Calibri" w:cs="Times New Roman"/>
                <w:color w:val="000000"/>
              </w:rPr>
              <w:t xml:space="preserve"> экономическо</w:t>
            </w:r>
            <w:r>
              <w:rPr>
                <w:rFonts w:ascii="Times New Roman" w:hAnsi="Times New Roman" w:eastAsia="Calibri" w:cs="Times New Roman"/>
                <w:color w:val="000000"/>
              </w:rPr>
              <w:t xml:space="preserve">му развитию и инвестициям</w:t>
            </w:r>
            <w:r/>
          </w:p>
        </w:tc>
      </w:tr>
      <w:tr>
        <w:trPr>
          <w:trHeight w:val="1836"/>
        </w:trPr>
        <w:tc>
          <w:tcPr>
            <w:tcW w:w="8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</w:t>
            </w:r>
            <w:r/>
          </w:p>
        </w:tc>
        <w:tc>
          <w:tcPr>
            <w:tcW w:w="32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 развития конкуренции на территории муниципального района 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субъектов предпринимательства о состоянии и развитии конкурентной среды, не менее ед.</w:t>
            </w:r>
            <w:r/>
          </w:p>
        </w:tc>
        <w:tc>
          <w:tcPr>
            <w:gridSpan w:val="2"/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70</w:t>
            </w:r>
            <w:r>
              <w:rPr>
                <w:highlight w:val="none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69</w:t>
            </w:r>
            <w:r>
              <w:rPr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(в 1 полугодии -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38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, во втором полугодии - 31)</w:t>
            </w:r>
            <w:r>
              <w:rPr>
                <w:highlight w:val="none"/>
              </w:rPr>
            </w:r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отдел по экономическому развитию и инвестициям</w:t>
            </w:r>
            <w:r/>
          </w:p>
        </w:tc>
      </w:tr>
      <w:tr>
        <w:trPr/>
        <w:tc>
          <w:tcPr>
            <w:tcW w:w="8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6"/>
            <w:tcW w:w="144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  <w:t xml:space="preserve">Совершенствование процессов управления объектами муниципальной собственности, а также на ограничение влияния муниципальных предприятий на развитие конкуренции</w:t>
            </w:r>
            <w:r>
              <w:rPr>
                <w:highlight w:val="none"/>
              </w:rPr>
            </w:r>
          </w:p>
        </w:tc>
      </w:tr>
      <w:tr>
        <w:trPr>
          <w:trHeight w:val="1660"/>
        </w:trPr>
        <w:tc>
          <w:tcPr>
            <w:tcW w:w="8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</w:t>
            </w:r>
            <w:r/>
          </w:p>
        </w:tc>
        <w:tc>
          <w:tcPr>
            <w:tcW w:w="3286" w:type="dxa"/>
            <w:textDirection w:val="lrTb"/>
            <w:noWrap w:val="false"/>
          </w:tcPr>
          <w:p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выполнение комплексного плана по эффективному управлению муниципальным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 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единиц муниципального имущества, подлежащего приватизации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приватизированного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ед.</w:t>
            </w:r>
            <w:r/>
          </w:p>
        </w:tc>
        <w:tc>
          <w:tcPr>
            <w:gridSpan w:val="2"/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7</w:t>
            </w:r>
            <w:r>
              <w:rPr>
                <w:highlight w:val="none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6</w:t>
            </w:r>
            <w:r>
              <w:rPr>
                <w:highlight w:val="none"/>
              </w:rPr>
            </w:r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sz w:val="24"/>
                <w:szCs w:val="24"/>
              </w:rPr>
              <w:t xml:space="preserve">Управление по муниципальному имуществу</w:t>
            </w:r>
            <w:r/>
          </w:p>
        </w:tc>
      </w:tr>
      <w:tr>
        <w:trPr>
          <w:trHeight w:val="6384"/>
        </w:trPr>
        <w:tc>
          <w:tcPr>
            <w:tcW w:w="8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</w:t>
            </w:r>
            <w:r/>
          </w:p>
        </w:tc>
        <w:tc>
          <w:tcPr>
            <w:tcW w:w="32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равных условий доступа к информации о имуществе, находящемся в собственности муниципальных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муниципальной собственности, путем размещения указанной информации на официальном сайте 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информации об 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 размещены на официальных сайтах собственников имущества</w:t>
            </w:r>
            <w:r/>
          </w:p>
        </w:tc>
        <w:tc>
          <w:tcPr>
            <w:tcBorders>
              <w:right w:val="none" w:color="000000" w:sz="4" w:space="0"/>
            </w:tcBorders>
            <w:tcW w:w="2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</w:tcBorders>
            <w:tcW w:w="15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hd w:val="nil"/>
              <w:rPr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100</w:t>
            </w:r>
            <w:r>
              <w:rPr>
                <w:highlight w:val="none"/>
              </w:rPr>
            </w:r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sz w:val="24"/>
                <w:szCs w:val="24"/>
              </w:rPr>
              <w:t xml:space="preserve">Управление по муниципальному имуществу</w:t>
            </w:r>
            <w:r/>
          </w:p>
        </w:tc>
      </w:tr>
      <w:tr>
        <w:trPr/>
        <w:tc>
          <w:tcPr>
            <w:tcW w:w="8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6"/>
            <w:tcW w:w="144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конкуренции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социальной сфере (детский отдых и оздоровление, спорт, здравоохранение, социальное обслуживание,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ошкольное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общешкольное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образование,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tcW w:w="8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</w:t>
            </w:r>
            <w:r/>
          </w:p>
        </w:tc>
        <w:tc>
          <w:tcPr>
            <w:tcW w:w="32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Содействие развитию практики применения механизмов муниципально-частного партнерства, в том числе практики заключения концессионных соглашений, в социальной сфере (детский </w:t>
            </w:r>
            <w:r>
              <w:rPr>
                <w:rFonts w:ascii="Times New Roman" w:hAnsi="Times New Roman" w:cs="Times New Roman"/>
              </w:rPr>
              <w:t xml:space="preserve">отдых и оздоровление, спорт, здравоохранение, социальное обслуживание, дошкольное об</w:t>
            </w:r>
            <w:r>
              <w:rPr>
                <w:rFonts w:ascii="Times New Roman" w:hAnsi="Times New Roman" w:cs="Times New Roman"/>
              </w:rPr>
              <w:t xml:space="preserve">разование, культура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  <w:highlight w:val="none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ind w:left="-108" w:right="-10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Количество</w:t>
            </w:r>
            <w:r>
              <w:rPr>
                <w:rFonts w:ascii="Times New Roman" w:hAnsi="Times New Roman" w:cs="Times New Roman"/>
              </w:rPr>
              <w:t xml:space="preserve"> заключенных (находящихся в работе или в процессе разработки) соглашений </w:t>
            </w:r>
            <w:r>
              <w:rPr>
                <w:rFonts w:ascii="Times New Roman" w:hAnsi="Times New Roman" w:cs="Times New Roman"/>
              </w:rPr>
              <w:t xml:space="preserve">муниципально-частного партнерства, концессионных соглашений в социальной сфере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(детский отдых и оздоровление, спорт, </w:t>
            </w:r>
            <w:r>
              <w:rPr>
                <w:rFonts w:ascii="Times New Roman" w:hAnsi="Times New Roman" w:cs="Times New Roman"/>
              </w:rPr>
              <w:t xml:space="preserve">здравоохранение, социальное обслуживание, дошкольное</w:t>
            </w:r>
            <w:r>
              <w:rPr>
                <w:rFonts w:ascii="Times New Roman" w:hAnsi="Times New Roman" w:cs="Times New Roman"/>
              </w:rPr>
              <w:t xml:space="preserve"> и общее школьное</w:t>
            </w:r>
            <w:r>
              <w:rPr>
                <w:rFonts w:ascii="Times New Roman" w:hAnsi="Times New Roman" w:cs="Times New Roman"/>
              </w:rPr>
              <w:t xml:space="preserve"> об</w:t>
            </w:r>
            <w:r>
              <w:rPr>
                <w:rFonts w:ascii="Times New Roman" w:hAnsi="Times New Roman" w:cs="Times New Roman"/>
              </w:rPr>
              <w:t xml:space="preserve">разование, культура)</w:t>
            </w:r>
            <w:r/>
          </w:p>
        </w:tc>
        <w:tc>
          <w:tcPr>
            <w:gridSpan w:val="2"/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</w:t>
            </w:r>
            <w:r>
              <w:rPr>
                <w:highlight w:val="none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</w:t>
            </w:r>
            <w:r>
              <w:rPr>
                <w:highlight w:val="none"/>
              </w:rPr>
            </w:r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</w:rPr>
            </w:pPr>
            <w:r>
              <w:rPr>
                <w:rFonts w:ascii="Times New Roman" w:hAnsi="Times New Roman" w:eastAsia="Batang" w:cs="Times New Roman"/>
              </w:rPr>
              <w:t xml:space="preserve">Структурные подразделения администрации, </w:t>
            </w:r>
            <w:r/>
          </w:p>
          <w:p>
            <w:pPr>
              <w:jc w:val="center"/>
              <w:rPr>
                <w:rFonts w:ascii="Times New Roman" w:hAnsi="Times New Roman" w:eastAsia="Batang" w:cs="Times New Roman"/>
              </w:rPr>
            </w:pPr>
            <w:r>
              <w:rPr>
                <w:rFonts w:ascii="Times New Roman" w:hAnsi="Times New Roman" w:eastAsia="Batang" w:cs="Times New Roman"/>
              </w:rPr>
              <w:t xml:space="preserve">отдел по экономическому развитию и инвестициям</w:t>
            </w:r>
            <w:r/>
          </w:p>
          <w:p>
            <w:pPr>
              <w:jc w:val="center"/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8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</w:t>
            </w:r>
            <w:r/>
          </w:p>
        </w:tc>
        <w:tc>
          <w:tcPr>
            <w:tcW w:w="32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применения практики заключения договоров с организациями частной формы собственности на предоставление отдельных услуг при проведении городских и районных культурно-массовых мероприятий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организованных культурно-массовых мероприятий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организациями частной формы собственности,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</w:t>
            </w:r>
            <w:r/>
          </w:p>
        </w:tc>
        <w:tc>
          <w:tcPr>
            <w:gridSpan w:val="2"/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110</w:t>
            </w:r>
            <w:r>
              <w:rPr>
                <w:highlight w:val="none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130</w:t>
            </w:r>
            <w:r>
              <w:rPr>
                <w:highlight w:val="none"/>
              </w:rPr>
            </w:r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ascii="Times New Roman" w:hAnsi="Times New Roman" w:eastAsia="Batang" w:cs="Times New Roman"/>
                <w:sz w:val="24"/>
                <w:szCs w:val="24"/>
              </w:rPr>
              <w:t xml:space="preserve">Отдел культуры</w:t>
            </w:r>
            <w:r/>
          </w:p>
        </w:tc>
      </w:tr>
      <w:tr>
        <w:trPr/>
        <w:tc>
          <w:tcPr>
            <w:tcW w:w="8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</w:t>
            </w:r>
            <w:r/>
          </w:p>
        </w:tc>
        <w:tc>
          <w:tcPr>
            <w:tcW w:w="32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применения практики заключения договоров с организациями частной формы собственности на предоставление отдельных услуг при проведении городских и районных физкультурных и спортивных мероприятий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привлеченных частных и некоммерческих организаций к организации и проведению городских и районных физкультурных и спортивных мероприятий,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10</w:t>
            </w:r>
            <w:r>
              <w:rPr>
                <w:highlight w:val="none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10</w:t>
            </w:r>
            <w:r>
              <w:rPr>
                <w:highlight w:val="none"/>
              </w:rPr>
            </w:r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физической культуры и спорта</w:t>
            </w:r>
            <w:r/>
          </w:p>
        </w:tc>
      </w:tr>
      <w:tr>
        <w:trPr/>
        <w:tc>
          <w:tcPr>
            <w:tcW w:w="8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</w:t>
            </w:r>
            <w:r/>
          </w:p>
        </w:tc>
        <w:tc>
          <w:tcPr>
            <w:gridSpan w:val="6"/>
            <w:tcW w:w="144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Ритуальные услуги</w:t>
            </w:r>
            <w:r/>
          </w:p>
        </w:tc>
      </w:tr>
      <w:tr>
        <w:trPr/>
        <w:tc>
          <w:tcPr>
            <w:tcW w:w="8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</w:t>
            </w:r>
            <w:r/>
          </w:p>
        </w:tc>
        <w:tc>
          <w:tcPr>
            <w:tcW w:w="32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кладбищ и мест захоронений на них;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реестров кладбищ и мест захоронений на них, занесение информации в информационный ресурс 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региональном портале информации о кладбищах и местах захоронений на них, % </w:t>
            </w:r>
            <w:r/>
          </w:p>
        </w:tc>
        <w:tc>
          <w:tcPr>
            <w:gridSpan w:val="2"/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</w:t>
            </w:r>
            <w:r>
              <w:rPr>
                <w:highlight w:val="none"/>
              </w:rPr>
            </w:r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eastAsia="Batang" w:cs="Times New Roman"/>
              </w:rPr>
              <w:t xml:space="preserve">развития сельскохозяйственного производства, малого и среднего предпринимательства</w:t>
            </w:r>
            <w:r>
              <w:rPr>
                <w:rFonts w:ascii="Times New Roman" w:hAnsi="Times New Roman" w:eastAsia="Batang" w:cs="Times New Roman"/>
              </w:rPr>
              <w:t xml:space="preserve">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«Ритуальные услуги»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ОМСУ</w:t>
            </w:r>
            <w:r/>
          </w:p>
        </w:tc>
      </w:tr>
    </w:tbl>
    <w:p>
      <w:pPr>
        <w:jc w:val="center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after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after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after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after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after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after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,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реализация которых оказывает комплексное воздействие на состояние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целевые показатели по которым не устанавливаются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Style w:val="645"/>
        <w:tblW w:w="15102" w:type="dxa"/>
        <w:tblLook w:val="04A0" w:firstRow="1" w:lastRow="0" w:firstColumn="1" w:lastColumn="0" w:noHBand="0" w:noVBand="1"/>
      </w:tblPr>
      <w:tblGrid>
        <w:gridCol w:w="481"/>
        <w:gridCol w:w="2787"/>
        <w:gridCol w:w="2686"/>
        <w:gridCol w:w="2050"/>
        <w:gridCol w:w="4749"/>
        <w:gridCol w:w="2349"/>
      </w:tblGrid>
      <w:tr>
        <w:trPr>
          <w:cantSplit/>
          <w:tblHeader/>
        </w:trPr>
        <w:tc>
          <w:tcPr>
            <w:tcW w:w="7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/>
          </w:p>
        </w:tc>
        <w:tc>
          <w:tcPr>
            <w:tcW w:w="4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</w:t>
            </w:r>
            <w:r/>
          </w:p>
        </w:tc>
        <w:tc>
          <w:tcPr>
            <w:tcW w:w="27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Ключевое событие/результат</w:t>
            </w:r>
            <w:r/>
          </w:p>
        </w:tc>
        <w:tc>
          <w:tcPr>
            <w:tcW w:w="2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</w:t>
            </w:r>
            <w:r/>
          </w:p>
        </w:tc>
        <w:tc>
          <w:tcPr>
            <w:tcW w:w="30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Проведенные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ероприятия, направленные на достижение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результата</w:t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</w:t>
            </w:r>
            <w:r/>
          </w:p>
        </w:tc>
      </w:tr>
      <w:tr>
        <w:trPr>
          <w:cantSplit/>
          <w:tblHeader/>
        </w:trPr>
        <w:tc>
          <w:tcPr>
            <w:tcW w:w="7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4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27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2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30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</w:tr>
      <w:tr>
        <w:trPr/>
        <w:tc>
          <w:tcPr>
            <w:tcW w:w="7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4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МО «Всеволожский муниципальный район» в информационно-телекоммуникационной сети «Интернет» информации о проведении мероприятий по содействию развитию конкуренции на территории муниципального района</w:t>
            </w:r>
            <w:r/>
          </w:p>
        </w:tc>
        <w:tc>
          <w:tcPr>
            <w:tcW w:w="27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МО «Всеволожский муниципальный район» в информационно-телекоммуникационной сети «Интернет» создана вкладка «Район/Экономика и инвестиции/ Развитие конкуренции»</w:t>
            </w:r>
            <w:r/>
          </w:p>
        </w:tc>
        <w:tc>
          <w:tcPr>
            <w:tcW w:w="2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</w:t>
            </w:r>
            <w:r/>
          </w:p>
        </w:tc>
        <w:tc>
          <w:tcPr>
            <w:tcW w:w="30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Информация в созданной вкладке на официальном сайте администрации                 МО «Всеволожский муниципальный район» в информационно-телекоммуникационной сети «Интернет» регулярно актуализируется</w:t>
            </w:r>
            <w:r>
              <w:rPr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highlight w:val="none"/>
              </w:rPr>
            </w:r>
            <w:hyperlink r:id="rId13" w:tooltip="https://www.vsevreg.ru/city/economic/razvitie/" w:history="1">
              <w:r>
                <w:rPr>
                  <w:rStyle w:val="652"/>
                  <w:rFonts w:ascii="Times New Roman" w:hAnsi="Times New Roman" w:cs="Times New Roman"/>
                  <w:sz w:val="24"/>
                  <w:szCs w:val="24"/>
                  <w:highlight w:val="none"/>
                </w:rPr>
                <w:t xml:space="preserve">https://www.vsevreg.ru/city/economic/razvitie/</w:t>
              </w:r>
            </w:hyperlink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23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экономическому развитию и инвестициям</w:t>
            </w:r>
            <w:r/>
          </w:p>
        </w:tc>
      </w:tr>
      <w:tr>
        <w:trPr/>
        <w:tc>
          <w:tcPr>
            <w:tcW w:w="7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4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муниципальных предприятий, подлежащих ликвидации (реорганизации) в соответствии с </w:t>
            </w:r>
            <w:r>
              <w:rPr>
                <w:rStyle w:val="654"/>
                <w:rFonts w:eastAsiaTheme="minorHAnsi"/>
                <w:sz w:val="24"/>
                <w:szCs w:val="24"/>
              </w:rPr>
              <w:t xml:space="preserve">Федеральным законом от 27.12.2019 </w:t>
            </w:r>
            <w:r>
              <w:rPr>
                <w:rStyle w:val="654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654"/>
                <w:rFonts w:eastAsiaTheme="minorHAnsi"/>
                <w:sz w:val="24"/>
                <w:szCs w:val="24"/>
              </w:rPr>
              <w:t xml:space="preserve">№ 485-ФЗ «О внесении изменений в Федеральный закон «О государственных и муниципальных унитарных </w:t>
            </w:r>
            <w:r>
              <w:rPr>
                <w:rStyle w:val="654"/>
                <w:rFonts w:eastAsiaTheme="minorHAnsi"/>
                <w:sz w:val="24"/>
                <w:szCs w:val="24"/>
              </w:rPr>
              <w:t xml:space="preserve">предприятиях» и Федеральный закон «О защите конкуренции»</w:t>
            </w:r>
            <w:r/>
          </w:p>
        </w:tc>
        <w:tc>
          <w:tcPr>
            <w:tcW w:w="27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предприятия Всеволожского района включены в </w:t>
            </w:r>
            <w:r>
              <w:rPr>
                <w:rStyle w:val="654"/>
                <w:rFonts w:eastAsiaTheme="minorHAnsi"/>
                <w:sz w:val="24"/>
                <w:szCs w:val="24"/>
              </w:rPr>
              <w:t xml:space="preserve">план мероприятий </w:t>
            </w:r>
            <w:r>
              <w:rPr>
                <w:rStyle w:val="654"/>
                <w:rFonts w:eastAsiaTheme="minorHAnsi"/>
                <w:sz w:val="24"/>
                <w:szCs w:val="24"/>
              </w:rPr>
              <w:t xml:space="preserve">Ленинградской области</w:t>
            </w:r>
            <w:r>
              <w:rPr>
                <w:rStyle w:val="654"/>
                <w:rFonts w:eastAsiaTheme="minorHAnsi"/>
                <w:sz w:val="24"/>
                <w:szCs w:val="24"/>
              </w:rPr>
              <w:t xml:space="preserve"> на период по реформированию унитарных предприятий</w:t>
            </w:r>
            <w:r>
              <w:rPr>
                <w:rStyle w:val="654"/>
                <w:rFonts w:eastAsiaTheme="minorHAnsi"/>
                <w:sz w:val="24"/>
                <w:szCs w:val="24"/>
              </w:rPr>
              <w:t xml:space="preserve">, план исполнен</w:t>
            </w:r>
            <w:r/>
          </w:p>
        </w:tc>
        <w:tc>
          <w:tcPr>
            <w:tcW w:w="2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01.01.2025 года</w:t>
            </w:r>
            <w:r/>
          </w:p>
        </w:tc>
        <w:tc>
          <w:tcPr>
            <w:tcW w:w="3037" w:type="dxa"/>
            <w:textDirection w:val="lrTb"/>
            <w:noWrap w:val="false"/>
          </w:tcPr>
          <w:p>
            <w:pPr>
              <w:pStyle w:val="641"/>
              <w:ind w:right="-108"/>
              <w:jc w:val="center"/>
              <w:rPr>
                <w:b w:val="0"/>
                <w:color w:val="000000" w:themeColor="text1"/>
                <w:szCs w:val="24"/>
                <w:highlight w:val="none"/>
              </w:rPr>
              <w:outlineLvl w:val="0"/>
            </w:pPr>
            <w:r>
              <w:rPr>
                <w:b w:val="0"/>
                <w:color w:val="000000" w:themeColor="text1"/>
                <w:szCs w:val="24"/>
                <w:highlight w:val="none"/>
              </w:rPr>
              <w:t xml:space="preserve">Протоколом  от 27.09.2022 </w:t>
            </w:r>
            <w:r>
              <w:rPr>
                <w:b w:val="0"/>
                <w:color w:val="000000" w:themeColor="text1"/>
                <w:szCs w:val="24"/>
                <w:highlight w:val="none"/>
              </w:rPr>
              <w:t xml:space="preserve">№ 2</w:t>
            </w:r>
            <w:r>
              <w:rPr>
                <w:highlight w:val="none"/>
              </w:rPr>
            </w:r>
          </w:p>
          <w:p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  <w:t xml:space="preserve">заседания балансовой комиссии по контролю над финансово-хозяйственной деятельностью муниципальных предприятий приняты решения:</w:t>
            </w:r>
            <w:r>
              <w:rPr>
                <w:highlight w:val="none"/>
              </w:rPr>
            </w:r>
          </w:p>
          <w:p>
            <w:pPr>
              <w:pStyle w:val="651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  <w:t xml:space="preserve">МП «Всеволожские бани»: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  <w:t xml:space="preserve">в целях реализации Федерального закона от 27.12.2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  <w:t xml:space="preserve">019 № 485-ФЗ «О внесении изменений в Федеральный закон                    «О государственных и муниципальных унитарных предприятиях» и Федерального закона «О защите конкуренции», проработать вопрос по определению формы собственности, в которую предприятие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  <w:t xml:space="preserve">будет реорганизовано путем преобразования.</w:t>
            </w:r>
            <w:r>
              <w:rPr>
                <w:highlight w:val="none"/>
              </w:rPr>
            </w:r>
          </w:p>
          <w:p>
            <w:pPr>
              <w:pStyle w:val="651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  <w:t xml:space="preserve">МТП «Грузино»:</w:t>
            </w:r>
            <w:r>
              <w:rPr>
                <w:highlight w:val="none"/>
              </w:rPr>
            </w:r>
          </w:p>
          <w:p>
            <w:pPr>
              <w:pStyle w:val="651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  <w:t xml:space="preserve">В целях реализации Федерального закона от 27.12.2019 № 485-ФЗ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  <w:t xml:space="preserve">«О внесении изменений в Федеральный закон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  <w:t xml:space="preserve">             «О государственных                                                    и муниципальных унитарных предприятиях»   и Федеральный закон «О защите конкуренции» подготовить проект «дорожной карты» по проведению мероприятий по ликвидации предприятия.</w:t>
            </w:r>
            <w:r>
              <w:rPr>
                <w:highlight w:val="none"/>
              </w:rPr>
            </w:r>
          </w:p>
        </w:tc>
        <w:tc>
          <w:tcPr>
            <w:tcW w:w="23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администрации, к подведомственности которых относятся муниципальные предприятия</w:t>
            </w:r>
            <w:r/>
          </w:p>
        </w:tc>
      </w:tr>
      <w:tr>
        <w:trPr/>
        <w:tc>
          <w:tcPr>
            <w:tcW w:w="7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4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состава имущества, находящегося в муниципальной собственн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ости, не используемого для реализации муниципальных полномочий: проведение инвентаризации казны; проведение анализа эффективности использования имущества, закрепленного за предприятиями и учреждениями; вовлечение в хозяйственный оборот неиспользуемого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неэффективно используемого муниципального имущества или списание такого имущества </w:t>
            </w:r>
            <w:r/>
          </w:p>
        </w:tc>
        <w:tc>
          <w:tcPr>
            <w:tcW w:w="27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МО «Всеволожский муниципальный район» в информационно-телекоммуникационной сети «Интернет» перечня имущества, не используемого для реализации муниципальных полномочий </w:t>
            </w:r>
            <w:r/>
          </w:p>
        </w:tc>
        <w:tc>
          <w:tcPr>
            <w:tcW w:w="2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/>
          </w:p>
        </w:tc>
        <w:tc>
          <w:tcPr>
            <w:tcW w:w="3037" w:type="dxa"/>
            <w:textDirection w:val="lrTb"/>
            <w:noWrap w:val="false"/>
          </w:tcPr>
          <w:p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Ежегодно проводится инвентаризация имущества казны, имущества на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ходящегося в оперативном управлении и хозяйственном ведении учреждений и предприятий, ежеквартально обновляется перечень имущества на официальном сайте администрации МО «Всеволожский муниципальный район» в информационно-телекоммуникационной сети «Интернет»</w:t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муниципальному имуществу </w:t>
            </w:r>
            <w:r/>
          </w:p>
        </w:tc>
      </w:tr>
      <w:tr>
        <w:trPr/>
        <w:tc>
          <w:tcPr>
            <w:tcW w:w="7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4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правовых актов, соответствующих единому порядку проведения обязательных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твии с законодательством торгов в сфере реализации имущества (имущественных прав), в электронной форме с использованием официально сайта Российской Федерации в информационно-телекоммуникационной сети «Интернет» для размещения информации о проведении торгов</w:t>
            </w:r>
            <w:r/>
          </w:p>
        </w:tc>
        <w:tc>
          <w:tcPr>
            <w:tcW w:w="27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муниципальных правовых актов</w:t>
            </w:r>
            <w:r/>
          </w:p>
        </w:tc>
        <w:tc>
          <w:tcPr>
            <w:tcW w:w="2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6 месяцев с даты опубликования соответствующих изменений в федеральное законодательство</w:t>
            </w:r>
            <w:r/>
          </w:p>
        </w:tc>
        <w:tc>
          <w:tcPr>
            <w:tcW w:w="3037" w:type="dxa"/>
            <w:textDirection w:val="lrTb"/>
            <w:noWrap w:val="false"/>
          </w:tcPr>
          <w:p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Решением Совета депутатов МО «Всеволожский муниципальный район»               от 17.02.2022 № 3 утвержден прогнозный план приватизации имущества на 2022 год.</w:t>
            </w:r>
            <w:r>
              <w:rPr>
                <w:highlight w:val="none"/>
              </w:rPr>
            </w:r>
          </w:p>
        </w:tc>
        <w:tc>
          <w:tcPr>
            <w:tcW w:w="23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муниципальному имуществу</w:t>
            </w:r>
            <w:r/>
          </w:p>
        </w:tc>
      </w:tr>
      <w:tr>
        <w:trPr>
          <w:trHeight w:val="2256"/>
        </w:trPr>
        <w:tc>
          <w:tcPr>
            <w:tcW w:w="7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4113" w:type="dxa"/>
            <w:textDirection w:val="lrTb"/>
            <w:noWrap w:val="false"/>
          </w:tcPr>
          <w:p>
            <w:pPr>
              <w:jc w:val="center"/>
              <w:spacing w:line="278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полномочий </w:t>
            </w:r>
            <w:r>
              <w:rPr>
                <w:rStyle w:val="655"/>
                <w:rFonts w:eastAsiaTheme="minorHAnsi"/>
                <w:b w:val="0"/>
                <w:sz w:val="24"/>
                <w:szCs w:val="24"/>
              </w:rPr>
              <w:t xml:space="preserve">органов местного самоуправления, в указанных целях, в частности: составление планов-графиков полной инвентаризации муниципального имущества, в том числе закрепленного за предприятиями</w:t>
            </w:r>
            <w:r>
              <w:rPr>
                <w:rStyle w:val="655"/>
                <w:rFonts w:eastAsiaTheme="minorHAnsi"/>
                <w:b w:val="0"/>
                <w:sz w:val="24"/>
                <w:szCs w:val="24"/>
              </w:rPr>
              <w:t xml:space="preserve">, учреждениями; 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      </w:r>
            <w:r/>
          </w:p>
          <w:p>
            <w:pPr>
              <w:jc w:val="center"/>
              <w:rPr>
                <w:rStyle w:val="655"/>
                <w:rFonts w:eastAsiaTheme="minorHAnsi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Style w:val="655"/>
                <w:rFonts w:eastAsiaTheme="minorHAnsi"/>
                <w:b w:val="0"/>
                <w:sz w:val="24"/>
                <w:szCs w:val="24"/>
              </w:rPr>
              <w:t xml:space="preserve">включение указанного имущества в программу приватизации, утверждение плана по перепрофилированию имущества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5"/>
                <w:rFonts w:eastAsiaTheme="minorHAnsi"/>
                <w:b w:val="0"/>
                <w:sz w:val="24"/>
                <w:szCs w:val="24"/>
                <w:highlight w:val="none"/>
              </w:rPr>
            </w:r>
            <w:r>
              <w:rPr>
                <w:rStyle w:val="655"/>
                <w:rFonts w:eastAsiaTheme="minorHAnsi"/>
                <w:b w:val="0"/>
                <w:sz w:val="24"/>
                <w:szCs w:val="24"/>
                <w:highlight w:val="none"/>
              </w:rPr>
            </w:r>
          </w:p>
        </w:tc>
        <w:tc>
          <w:tcPr>
            <w:tcW w:w="2799" w:type="dxa"/>
            <w:textDirection w:val="lrTb"/>
            <w:noWrap w:val="false"/>
          </w:tcPr>
          <w:p>
            <w:pPr>
              <w:jc w:val="center"/>
              <w:spacing w:line="274" w:lineRule="exact"/>
              <w:rPr>
                <w:sz w:val="24"/>
                <w:szCs w:val="24"/>
              </w:rPr>
            </w:pPr>
            <w:r>
              <w:rPr>
                <w:rStyle w:val="655"/>
                <w:rFonts w:eastAsiaTheme="minorHAnsi"/>
                <w:b w:val="0"/>
                <w:sz w:val="24"/>
                <w:szCs w:val="24"/>
              </w:rPr>
              <w:t xml:space="preserve"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</w:t>
            </w:r>
            <w:r>
              <w:rPr>
                <w:rStyle w:val="655"/>
                <w:rFonts w:eastAsiaTheme="minorHAnsi"/>
                <w:b w:val="0"/>
                <w:sz w:val="24"/>
                <w:szCs w:val="24"/>
              </w:rPr>
              <w:t xml:space="preserve">полномочий органов местного самоуправления </w:t>
            </w:r>
            <w:r/>
          </w:p>
        </w:tc>
        <w:tc>
          <w:tcPr>
            <w:tcW w:w="2050" w:type="dxa"/>
            <w:textDirection w:val="lrTb"/>
            <w:noWrap w:val="false"/>
          </w:tcPr>
          <w:p>
            <w:pPr>
              <w:jc w:val="center"/>
              <w:spacing w:line="220" w:lineRule="exact"/>
              <w:rPr>
                <w:sz w:val="24"/>
                <w:szCs w:val="24"/>
              </w:rPr>
            </w:pPr>
            <w:r>
              <w:rPr>
                <w:rStyle w:val="655"/>
                <w:rFonts w:eastAsiaTheme="minorHAnsi"/>
                <w:b w:val="0"/>
                <w:sz w:val="24"/>
                <w:szCs w:val="24"/>
              </w:rPr>
              <w:t xml:space="preserve">Ежегодно</w:t>
            </w:r>
            <w:r/>
          </w:p>
        </w:tc>
        <w:tc>
          <w:tcPr>
            <w:tcW w:w="3037" w:type="dxa"/>
            <w:textDirection w:val="lrTb"/>
            <w:noWrap w:val="false"/>
          </w:tcPr>
          <w:p>
            <w:pPr>
              <w:ind w:right="-108"/>
              <w:jc w:val="center"/>
              <w:spacing w:line="274" w:lineRule="exact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Комиссия по вопросам распоряже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ния муниципальным имуществом ежемесячно рассматривает вопросы дальнейшего использования муниципального имущества: выявление имущества, не соответствующего требованиям для реализации функций и полномочий органов местного самоуправления, передача, списание,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приватизация, перепрофилирование имущества.</w:t>
            </w:r>
            <w:r>
              <w:rPr>
                <w:highlight w:val="none"/>
              </w:rPr>
            </w:r>
          </w:p>
        </w:tc>
        <w:tc>
          <w:tcPr>
            <w:tcW w:w="2349" w:type="dxa"/>
            <w:textDirection w:val="lrTb"/>
            <w:noWrap w:val="false"/>
          </w:tcPr>
          <w:p>
            <w:pPr>
              <w:jc w:val="center"/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муниципальному имуществу</w:t>
            </w:r>
            <w:r/>
          </w:p>
        </w:tc>
      </w:tr>
      <w:tr>
        <w:trPr/>
        <w:tc>
          <w:tcPr>
            <w:tcW w:w="7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4113" w:type="dxa"/>
            <w:textDirection w:val="lrTb"/>
            <w:noWrap w:val="false"/>
          </w:tcPr>
          <w:p>
            <w:pPr>
              <w:jc w:val="center"/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rStyle w:val="655"/>
                <w:rFonts w:eastAsiaTheme="minorHAnsi"/>
                <w:b w:val="0"/>
                <w:sz w:val="24"/>
                <w:szCs w:val="24"/>
              </w:rPr>
              <w:t xml:space="preserve">Приватизация либо перепрофилирование (изменение целевого назначения имущества) муниципального имущества, не соответствующего требованиям о</w:t>
            </w:r>
            <w:r>
              <w:rPr>
                <w:rStyle w:val="655"/>
                <w:rFonts w:eastAsiaTheme="minorHAnsi"/>
                <w:b w:val="0"/>
                <w:sz w:val="24"/>
                <w:szCs w:val="24"/>
              </w:rPr>
              <w:t xml:space="preserve">тнесения к категории имущества, предназначенного для реализации функций и полномочий органов местного самоуправления: организация и проведение публичных торгов по реализации указанного имущества, перепрофилирование (изменение целевого назначения имущества)</w:t>
            </w:r>
            <w:r/>
          </w:p>
        </w:tc>
        <w:tc>
          <w:tcPr>
            <w:tcW w:w="2799" w:type="dxa"/>
            <w:textDirection w:val="lrTb"/>
            <w:noWrap w:val="false"/>
          </w:tcPr>
          <w:p>
            <w:pPr>
              <w:jc w:val="center"/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rStyle w:val="655"/>
                <w:rFonts w:eastAsiaTheme="minorHAnsi"/>
                <w:b w:val="0"/>
                <w:sz w:val="24"/>
                <w:szCs w:val="24"/>
              </w:rPr>
              <w:t xml:space="preserve">Обеспечена приватизация либо пе</w:t>
            </w:r>
            <w:r>
              <w:rPr>
                <w:rStyle w:val="655"/>
                <w:rFonts w:eastAsiaTheme="minorHAnsi"/>
                <w:b w:val="0"/>
                <w:sz w:val="24"/>
                <w:szCs w:val="24"/>
              </w:rPr>
              <w:t xml:space="preserve">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Ленинградской области</w:t>
            </w:r>
            <w:r/>
          </w:p>
        </w:tc>
        <w:tc>
          <w:tcPr>
            <w:tcW w:w="2050" w:type="dxa"/>
            <w:textDirection w:val="lrTb"/>
            <w:noWrap w:val="false"/>
          </w:tcPr>
          <w:p>
            <w:pPr>
              <w:jc w:val="center"/>
              <w:spacing w:line="278" w:lineRule="exact"/>
              <w:rPr>
                <w:b/>
                <w:sz w:val="24"/>
                <w:szCs w:val="24"/>
              </w:rPr>
            </w:pPr>
            <w:r>
              <w:rPr>
                <w:rStyle w:val="655"/>
                <w:rFonts w:eastAsiaTheme="minorHAnsi"/>
                <w:b w:val="0"/>
                <w:sz w:val="24"/>
                <w:szCs w:val="24"/>
              </w:rPr>
              <w:t xml:space="preserve">31 декабря 2025 года</w:t>
            </w:r>
            <w:r/>
          </w:p>
        </w:tc>
        <w:tc>
          <w:tcPr>
            <w:tcW w:w="3037" w:type="dxa"/>
            <w:textDirection w:val="lrTb"/>
            <w:noWrap w:val="false"/>
          </w:tcPr>
          <w:p>
            <w:pPr>
              <w:jc w:val="center"/>
              <w:spacing w:line="274" w:lineRule="exact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Ежегодно перечень имущества, подлежащего приватизации, выносится на заседание совета депутатов Всеволожского муниципального района и утверждается прогнозный план приватизации имущества на предстоящий год.</w:t>
            </w:r>
            <w:r>
              <w:rPr>
                <w:highlight w:val="none"/>
              </w:rPr>
            </w:r>
          </w:p>
        </w:tc>
        <w:tc>
          <w:tcPr>
            <w:tcW w:w="2349" w:type="dxa"/>
            <w:textDirection w:val="lrTb"/>
            <w:noWrap w:val="false"/>
          </w:tcPr>
          <w:p>
            <w:pPr>
              <w:jc w:val="center"/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муниципальному имуществу</w:t>
            </w:r>
            <w:r/>
          </w:p>
        </w:tc>
      </w:tr>
    </w:tbl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993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30600000101010101"/>
  </w:font>
  <w:font w:name="Calibri">
    <w:panose1 w:val="020F050202020403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7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42"/>
    <w:link w:val="641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40"/>
    <w:next w:val="64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42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40"/>
    <w:next w:val="64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42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40"/>
    <w:next w:val="64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42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40"/>
    <w:next w:val="64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42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40"/>
    <w:next w:val="64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42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40"/>
    <w:next w:val="64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42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40"/>
    <w:next w:val="64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42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40"/>
    <w:next w:val="64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42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40"/>
    <w:next w:val="64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42"/>
    <w:link w:val="33"/>
    <w:uiPriority w:val="10"/>
    <w:rPr>
      <w:sz w:val="48"/>
      <w:szCs w:val="48"/>
    </w:rPr>
  </w:style>
  <w:style w:type="paragraph" w:styleId="35">
    <w:name w:val="Subtitle"/>
    <w:basedOn w:val="640"/>
    <w:next w:val="64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42"/>
    <w:link w:val="35"/>
    <w:uiPriority w:val="11"/>
    <w:rPr>
      <w:sz w:val="24"/>
      <w:szCs w:val="24"/>
    </w:rPr>
  </w:style>
  <w:style w:type="paragraph" w:styleId="37">
    <w:name w:val="Quote"/>
    <w:basedOn w:val="640"/>
    <w:next w:val="64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40"/>
    <w:next w:val="64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4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42"/>
    <w:link w:val="41"/>
    <w:uiPriority w:val="99"/>
  </w:style>
  <w:style w:type="paragraph" w:styleId="43">
    <w:name w:val="Footer"/>
    <w:basedOn w:val="64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42"/>
    <w:link w:val="43"/>
    <w:uiPriority w:val="99"/>
  </w:style>
  <w:style w:type="paragraph" w:styleId="45">
    <w:name w:val="Caption"/>
    <w:basedOn w:val="640"/>
    <w:next w:val="6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4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646"/>
    <w:uiPriority w:val="99"/>
    <w:rPr>
      <w:sz w:val="18"/>
    </w:rPr>
  </w:style>
  <w:style w:type="paragraph" w:styleId="177">
    <w:name w:val="endnote text"/>
    <w:basedOn w:val="64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42"/>
    <w:uiPriority w:val="99"/>
    <w:semiHidden/>
    <w:unhideWhenUsed/>
    <w:rPr>
      <w:vertAlign w:val="superscript"/>
    </w:rPr>
  </w:style>
  <w:style w:type="paragraph" w:styleId="180">
    <w:name w:val="toc 1"/>
    <w:basedOn w:val="640"/>
    <w:next w:val="64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40"/>
    <w:next w:val="64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40"/>
    <w:next w:val="64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40"/>
    <w:next w:val="64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40"/>
    <w:next w:val="64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40"/>
    <w:next w:val="64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40"/>
    <w:next w:val="64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40"/>
    <w:next w:val="64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40"/>
    <w:next w:val="64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40"/>
    <w:next w:val="640"/>
    <w:uiPriority w:val="99"/>
    <w:unhideWhenUsed/>
    <w:pPr>
      <w:spacing w:after="0" w:afterAutospacing="0"/>
    </w:pPr>
  </w:style>
  <w:style w:type="paragraph" w:styleId="640" w:default="1">
    <w:name w:val="Normal"/>
    <w:qFormat/>
  </w:style>
  <w:style w:type="paragraph" w:styleId="641">
    <w:name w:val="Heading 1"/>
    <w:basedOn w:val="640"/>
    <w:next w:val="640"/>
    <w:link w:val="656"/>
    <w:qFormat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642" w:default="1">
    <w:name w:val="Default Paragraph Font"/>
    <w:uiPriority w:val="1"/>
    <w:semiHidden/>
    <w:unhideWhenUsed/>
  </w:style>
  <w:style w:type="table" w:styleId="6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4" w:default="1">
    <w:name w:val="No List"/>
    <w:uiPriority w:val="99"/>
    <w:semiHidden/>
    <w:unhideWhenUsed/>
  </w:style>
  <w:style w:type="table" w:styleId="645">
    <w:name w:val="Table Grid"/>
    <w:basedOn w:val="64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46">
    <w:name w:val="footnote text"/>
    <w:basedOn w:val="640"/>
    <w:link w:val="64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647" w:customStyle="1">
    <w:name w:val="Текст сноски Знак"/>
    <w:basedOn w:val="642"/>
    <w:link w:val="646"/>
    <w:uiPriority w:val="99"/>
    <w:semiHidden/>
    <w:rPr>
      <w:sz w:val="20"/>
      <w:szCs w:val="20"/>
    </w:rPr>
  </w:style>
  <w:style w:type="character" w:styleId="648">
    <w:name w:val="footnote reference"/>
    <w:basedOn w:val="642"/>
    <w:uiPriority w:val="99"/>
    <w:semiHidden/>
    <w:unhideWhenUsed/>
    <w:rPr>
      <w:vertAlign w:val="superscript"/>
    </w:rPr>
  </w:style>
  <w:style w:type="paragraph" w:styleId="649">
    <w:name w:val="Balloon Text"/>
    <w:basedOn w:val="640"/>
    <w:link w:val="65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50" w:customStyle="1">
    <w:name w:val="Текст выноски Знак"/>
    <w:basedOn w:val="642"/>
    <w:link w:val="649"/>
    <w:uiPriority w:val="99"/>
    <w:semiHidden/>
    <w:rPr>
      <w:rFonts w:ascii="Tahoma" w:hAnsi="Tahoma" w:cs="Tahoma"/>
      <w:sz w:val="16"/>
      <w:szCs w:val="16"/>
    </w:rPr>
  </w:style>
  <w:style w:type="paragraph" w:styleId="651">
    <w:name w:val="List Paragraph"/>
    <w:basedOn w:val="640"/>
    <w:uiPriority w:val="34"/>
    <w:qFormat/>
    <w:pPr>
      <w:contextualSpacing/>
      <w:ind w:left="720"/>
    </w:pPr>
  </w:style>
  <w:style w:type="character" w:styleId="652">
    <w:name w:val="Hyperlink"/>
    <w:basedOn w:val="642"/>
    <w:uiPriority w:val="99"/>
    <w:unhideWhenUsed/>
    <w:rPr>
      <w:strike w:val="0"/>
      <w:color w:val="1989ca"/>
      <w:u w:val="none"/>
    </w:rPr>
  </w:style>
  <w:style w:type="paragraph" w:styleId="653">
    <w:name w:val="Normal (Web)"/>
    <w:basedOn w:val="640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54" w:customStyle="1">
    <w:name w:val="Основной текст (2)"/>
    <w:basedOn w:val="642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styleId="655" w:customStyle="1">
    <w:name w:val="Основной текст (2) + 11 pt;Полужирный"/>
    <w:basedOn w:val="642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styleId="656" w:customStyle="1">
    <w:name w:val="Заголовок 1 Знак"/>
    <w:basedOn w:val="642"/>
    <w:link w:val="641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657">
    <w:name w:val="FollowedHyperlink"/>
    <w:basedOn w:val="642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://vsevolozhsk.813.ru/" TargetMode="External"/><Relationship Id="rId11" Type="http://schemas.openxmlformats.org/officeDocument/2006/relationships/hyperlink" Target="http://vsevolozhsk.813.ru/" TargetMode="External"/><Relationship Id="rId12" Type="http://schemas.openxmlformats.org/officeDocument/2006/relationships/hyperlink" Target="http://vsevolozhsk.813.ru/" TargetMode="External"/><Relationship Id="rId13" Type="http://schemas.openxmlformats.org/officeDocument/2006/relationships/hyperlink" Target="https://www.vsevreg.ru/city/economic/razvitie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2617D-E042-4C9F-AB7F-5F5A6B7E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Орлова</dc:creator>
  <cp:revision>42</cp:revision>
  <dcterms:created xsi:type="dcterms:W3CDTF">2021-01-15T12:44:00Z</dcterms:created>
  <dcterms:modified xsi:type="dcterms:W3CDTF">2023-01-18T10:57:48Z</dcterms:modified>
</cp:coreProperties>
</file>